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2E" w:rsidRPr="00347F22" w:rsidRDefault="0004432E" w:rsidP="00347F22">
      <w:pPr>
        <w:pStyle w:val="TYTDZOZNoznaczenietytuulubdziau"/>
        <w:rPr>
          <w:b/>
        </w:rPr>
      </w:pPr>
      <w:r w:rsidRPr="002B735C">
        <w:rPr>
          <w:rStyle w:val="Ppogrubienie"/>
        </w:rPr>
        <w:t>UZASADNIENIE</w:t>
      </w:r>
    </w:p>
    <w:p w:rsidR="00BE76D3" w:rsidRPr="00BE76D3" w:rsidRDefault="004A4D7B" w:rsidP="00BE76D3">
      <w:pPr>
        <w:pStyle w:val="TYTUAKTUprzedmiotregulacjiustawylubrozporzdzenia"/>
        <w:jc w:val="both"/>
        <w:rPr>
          <w:b w:val="0"/>
        </w:rPr>
      </w:pPr>
      <w:r w:rsidRPr="004A4D7B">
        <w:rPr>
          <w:b w:val="0"/>
        </w:rPr>
        <w:t xml:space="preserve">Strona pracowników i pracodawców Rady Dialogu Społecznego w dniu 20 października 2021 r. podjęła </w:t>
      </w:r>
      <w:r w:rsidR="007F640F">
        <w:rPr>
          <w:b w:val="0"/>
        </w:rPr>
        <w:t>U</w:t>
      </w:r>
      <w:r w:rsidRPr="004A4D7B">
        <w:rPr>
          <w:b w:val="0"/>
        </w:rPr>
        <w:t xml:space="preserve">chwałę nr 102 w sprawie wniosku o zmianę ustawy o rehabilitacji zawodowej i społecznej oraz zatrudnianiu osób niepełnosprawnych. </w:t>
      </w:r>
      <w:r w:rsidR="00BE76D3">
        <w:rPr>
          <w:b w:val="0"/>
        </w:rPr>
        <w:t>U</w:t>
      </w:r>
      <w:r w:rsidRPr="004A4D7B">
        <w:rPr>
          <w:b w:val="0"/>
        </w:rPr>
        <w:t xml:space="preserve">chwała została przekazana do </w:t>
      </w:r>
      <w:r w:rsidR="00464F77" w:rsidRPr="00BE76D3">
        <w:rPr>
          <w:b w:val="0"/>
        </w:rPr>
        <w:t>Ministra Rodziny i Polityki Społecznej</w:t>
      </w:r>
      <w:r w:rsidR="00BE76D3" w:rsidRPr="00BE76D3">
        <w:rPr>
          <w:b w:val="0"/>
        </w:rPr>
        <w:t>.</w:t>
      </w:r>
    </w:p>
    <w:p w:rsidR="00BE76D3" w:rsidRPr="00BE76D3" w:rsidRDefault="00BE76D3" w:rsidP="00BE76D3">
      <w:pPr>
        <w:pStyle w:val="TYTUAKTUprzedmiotregulacjiustawylubrozporzdzenia"/>
        <w:jc w:val="both"/>
        <w:rPr>
          <w:b w:val="0"/>
        </w:rPr>
      </w:pPr>
      <w:r w:rsidRPr="00BE76D3">
        <w:rPr>
          <w:b w:val="0"/>
        </w:rPr>
        <w:t>W dniu 19 lipca 2022 r. Rada Ministrów rozpatrzyła pozytywnie przedłożony przez Ministra Rodziny i Polityki Społecznej wniosek o przyjęcie przez Radę Ministrów do dalszych prac projektu zmiany ustawy o rehabilitacji zawodowej i społecznej oraz zatrudnianiu osób niepełnosprawnych</w:t>
      </w:r>
      <w:r w:rsidR="004C514E">
        <w:rPr>
          <w:b w:val="0"/>
        </w:rPr>
        <w:t>,</w:t>
      </w:r>
      <w:r w:rsidRPr="00BE76D3">
        <w:rPr>
          <w:b w:val="0"/>
        </w:rPr>
        <w:t xml:space="preserve"> przyjętego Uchwałą nr 102 strony pracowników i strony pracodawców Rady Dialogu Społecznego z dnia 20 października 2021 r. w sprawie wniosku o zmianę art. 46a ust. 1 pkt 1 ustawy z dnia 27 sierpnia 1997 r. o rehabilitacji zawodowej i społecznej oraz zatrudnianiu osób niepełnosprawnych.</w:t>
      </w:r>
    </w:p>
    <w:p w:rsidR="00BE76D3" w:rsidRDefault="00BE76D3" w:rsidP="00BE76D3">
      <w:pPr>
        <w:jc w:val="both"/>
      </w:pPr>
      <w:r w:rsidRPr="00BE76D3">
        <w:t>Obowiązek przedłożenia ww. projektu Radzie Ministrów wynika z art. 7 ust. 1 ustawy z dnia 24 lipca 2015 r. o Radzie Dialogu Społecznego i innych instytucjach dialogu społecznego</w:t>
      </w:r>
      <w:r w:rsidR="007F640F">
        <w:t xml:space="preserve"> </w:t>
      </w:r>
      <w:r w:rsidR="007F640F" w:rsidRPr="007F640F">
        <w:t xml:space="preserve">(Dz. U. z 2018 r. poz. 2232, z </w:t>
      </w:r>
      <w:proofErr w:type="spellStart"/>
      <w:r w:rsidR="007F640F" w:rsidRPr="007F640F">
        <w:t>późn</w:t>
      </w:r>
      <w:proofErr w:type="spellEnd"/>
      <w:r w:rsidR="007F640F" w:rsidRPr="007F640F">
        <w:t>. zm.).</w:t>
      </w:r>
      <w:r w:rsidRPr="00BE76D3">
        <w:t xml:space="preserve"> Natomiast zgodnie z art. 7 ust. 4 ustawy ww. ustawy, nieprzyjęcie projektu przez Radę Ministrów do dalszych prac wymaga przedstawienia przez właściwego ministra pisemnego uzasadnienia, stronie pracowników i stronie pracodawców Rady, nie później niż w terminie 4 miesięcy od dnia otrzymania projektu przez ministra. Równocześnie zgodnie z art. 7 ust 5 ww. ustawy, w przypadku wniesienia projektu ustawy do Sejmu z istotnymi zmianami, informacja zawierająca uzasadnienie zmian jest zamieszczana w uzasadnieniu projektu.</w:t>
      </w:r>
    </w:p>
    <w:p w:rsidR="00BB3D99" w:rsidRDefault="00BB3D99" w:rsidP="00BE76D3">
      <w:pPr>
        <w:jc w:val="both"/>
      </w:pPr>
    </w:p>
    <w:p w:rsidR="00196171" w:rsidRPr="007E27FF" w:rsidRDefault="00BB3D99" w:rsidP="00196171">
      <w:pPr>
        <w:jc w:val="both"/>
        <w:rPr>
          <w:rFonts w:cs="Times New Roman"/>
        </w:rPr>
      </w:pPr>
      <w:r>
        <w:t>Jak wskazała s</w:t>
      </w:r>
      <w:r w:rsidRPr="00BB3D99">
        <w:t xml:space="preserve">trona pracowników i pracodawców Rady Dialogu Społecznego </w:t>
      </w:r>
      <w:r>
        <w:t>w uzasadnieniu do projektu ustawy przyjętego U</w:t>
      </w:r>
      <w:r w:rsidRPr="00BB3D99">
        <w:t>chwał</w:t>
      </w:r>
      <w:r>
        <w:t>ą</w:t>
      </w:r>
      <w:r w:rsidRPr="00BB3D99">
        <w:t xml:space="preserve"> nr 102</w:t>
      </w:r>
      <w:r>
        <w:t>,</w:t>
      </w:r>
      <w:r w:rsidRPr="00BB3D99">
        <w:t xml:space="preserve"> </w:t>
      </w:r>
      <w:r>
        <w:t>p</w:t>
      </w:r>
      <w:r w:rsidRPr="00BB3D99">
        <w:t>rzedłożony projekt ustawy ma na celu urealnienie wielkości dotacji przekazywanej z budżetu państwa na realizację zadań powierzonych Państwowemu Funduszowi Rehabilitacji Osób Niepełnosprawnych</w:t>
      </w:r>
      <w:r>
        <w:t xml:space="preserve"> (PFRON)</w:t>
      </w:r>
      <w:r w:rsidRPr="00BB3D99">
        <w:t>.</w:t>
      </w:r>
      <w:r>
        <w:t xml:space="preserve"> </w:t>
      </w:r>
      <w:r w:rsidRPr="00BB3D99">
        <w:t xml:space="preserve">W obecnym stanie prawnym ustawa przewiduje jedynie górną granicę wysokości dotacji </w:t>
      </w:r>
      <w:r w:rsidRPr="00BB3D99">
        <w:br/>
        <w:t xml:space="preserve">z budżetu państwa, na poziomie 30%. Prowadzi to do niedoboru środków na realizację zadań ustawowych </w:t>
      </w:r>
      <w:r>
        <w:t>PFRON</w:t>
      </w:r>
      <w:r w:rsidRPr="00BB3D99">
        <w:t>.</w:t>
      </w:r>
      <w:r>
        <w:t xml:space="preserve"> PFRON </w:t>
      </w:r>
      <w:r w:rsidRPr="00BB3D99">
        <w:t xml:space="preserve">tworzony jest z różnych źródeł. Niedostateczna wysokość dotacji budżetowej na wsparcie zatrudnienia osób niepełnosprawnych prowadzi do ograniczenia działalności </w:t>
      </w:r>
      <w:r>
        <w:t>PFRON</w:t>
      </w:r>
      <w:r w:rsidRPr="00BB3D99">
        <w:t xml:space="preserve"> w innych sferach. W szczególności </w:t>
      </w:r>
      <w:r>
        <w:t>PFRON</w:t>
      </w:r>
      <w:r w:rsidRPr="00BB3D99">
        <w:t xml:space="preserve"> zmuszony jest zmniejszać np. finansowanie wsparcia organizacji pozarządowych działających na rzecz rehabilitacji osób niepełnosprawnych.</w:t>
      </w:r>
      <w:r>
        <w:t xml:space="preserve"> </w:t>
      </w:r>
      <w:r w:rsidRPr="00BB3D99">
        <w:t xml:space="preserve">Do 31 grudnia 2011 r. przepis art. 46a przewidywał </w:t>
      </w:r>
      <w:r w:rsidRPr="00BB3D99">
        <w:lastRenderedPageBreak/>
        <w:t>dotację budżetową w wysokości 55% środków koniecznych na realizację zadania, o którym mowa w art. 26a (dofinansowań do wynagrodzeń osób niepełnosprawnych). W praktyce wysokość dotacji zmieniała się corocznie na podstawie przepisów epizodycznych.</w:t>
      </w:r>
      <w:r>
        <w:t xml:space="preserve"> </w:t>
      </w:r>
      <w:r w:rsidRPr="00BB3D99">
        <w:t xml:space="preserve">W celu </w:t>
      </w:r>
      <w:r w:rsidRPr="007E27FF">
        <w:rPr>
          <w:rFonts w:cs="Times New Roman"/>
        </w:rPr>
        <w:t xml:space="preserve">ustabilizowania i urealnienia finansowania zadań PFRON, proponuje się określenie minimalnej wysokości dotacji budżetowej na poziomie 30% planowanych kosztów dofinansowań do wynagrodzeń osób niepełnosprawnych. W art. 2 </w:t>
      </w:r>
      <w:r w:rsidR="007F640F" w:rsidRPr="007E27FF">
        <w:rPr>
          <w:rFonts w:cs="Times New Roman"/>
        </w:rPr>
        <w:t xml:space="preserve">projektu ustawy strona pracowników i pracodawców Rady Dialogu Społecznego </w:t>
      </w:r>
      <w:r w:rsidRPr="007E27FF">
        <w:rPr>
          <w:rFonts w:cs="Times New Roman"/>
        </w:rPr>
        <w:t xml:space="preserve">proponuje, aby wnioskowana zmiana weszła w życie od 1 stycznia 2022 r. </w:t>
      </w:r>
    </w:p>
    <w:p w:rsidR="009D46F8" w:rsidRPr="007E27FF" w:rsidRDefault="009D46F8" w:rsidP="007E27FF">
      <w:pPr>
        <w:widowControl/>
        <w:autoSpaceDE/>
        <w:autoSpaceDN/>
        <w:adjustRightInd/>
        <w:ind w:firstLine="708"/>
        <w:jc w:val="both"/>
        <w:rPr>
          <w:rFonts w:cs="Times New Roman"/>
        </w:rPr>
      </w:pPr>
      <w:r w:rsidRPr="009D46F8">
        <w:rPr>
          <w:rFonts w:eastAsiaTheme="minorHAnsi" w:cs="Times New Roman"/>
          <w:szCs w:val="24"/>
          <w:lang w:eastAsia="en-US"/>
        </w:rPr>
        <w:t>Biorąc pod uwagę</w:t>
      </w:r>
      <w:r w:rsidRPr="009D46F8">
        <w:rPr>
          <w:rFonts w:eastAsia="Calibri" w:cs="Times New Roman"/>
          <w:spacing w:val="-2"/>
          <w:szCs w:val="24"/>
          <w:lang w:eastAsia="ar-SA"/>
        </w:rPr>
        <w:t xml:space="preserve"> terminy wynikające z ustawy budżetowej oraz stan prac nad projektowaną ustawą i terminy wynikające z rozpoczynanego procesu legislacyjnego zasadnym wydaje się założenie wejścia w życie zmienionych przepisów od dnia 1 stycznia 2023 r. Ewentualna </w:t>
      </w:r>
      <w:r w:rsidRPr="009D46F8">
        <w:rPr>
          <w:rFonts w:cs="Times New Roman"/>
          <w:szCs w:val="24"/>
        </w:rPr>
        <w:t>zmiana terminu wejścia w życie ustawy (z 1 stycznia 2022 r. na 1 stycznia 2023 r.) zostanie ostatecznie ustalona w trakcie uzgodnień międzyresortowych.</w:t>
      </w:r>
    </w:p>
    <w:p w:rsidR="009D46F8" w:rsidRPr="007E27FF" w:rsidRDefault="009D46F8" w:rsidP="00EB7B60">
      <w:pPr>
        <w:jc w:val="both"/>
        <w:rPr>
          <w:rFonts w:cs="Times New Roman"/>
        </w:rPr>
      </w:pPr>
    </w:p>
    <w:p w:rsidR="00EB7B60" w:rsidRPr="007E27FF" w:rsidRDefault="00EB7B60" w:rsidP="00EB7B60">
      <w:pPr>
        <w:jc w:val="both"/>
        <w:rPr>
          <w:rFonts w:cs="Times New Roman"/>
        </w:rPr>
      </w:pPr>
      <w:r w:rsidRPr="007E27FF">
        <w:rPr>
          <w:rFonts w:cs="Times New Roman"/>
        </w:rPr>
        <w:t>Projektowana  zmiana ustawy generuje skutki finansowe dla budżetu państwa.</w:t>
      </w:r>
    </w:p>
    <w:p w:rsidR="007F640F" w:rsidRDefault="007F640F" w:rsidP="00196171">
      <w:pPr>
        <w:jc w:val="both"/>
      </w:pPr>
    </w:p>
    <w:p w:rsidR="00EB7B60" w:rsidRDefault="00904E8F" w:rsidP="00196171">
      <w:pPr>
        <w:jc w:val="both"/>
      </w:pPr>
      <w:r>
        <w:t>Pro</w:t>
      </w:r>
      <w:r w:rsidR="002034B8">
        <w:t>ponowania</w:t>
      </w:r>
      <w:r>
        <w:t xml:space="preserve"> zmiana, dotycząca zwiększenia poziomu dotacji dla PFRON na dofinansowania do wynagrodzeń pracowników niepełnosprawnych, jest zasadna i potrzebna, biorąc pod uwagę potrzeby w zakresie udzielanego przez PFRON wsparcia i możliwości poszerzenia zakresu realizowanych zadań z obszaru rehabilitacji zawodowej i społecznej. Istotne są działania mające na celu zwiększenie zatrudnienia osób niepełnosprawnych, skutkujące zwiększeniem wypłat dofinasowań do wynagrodzeń. Równie ważne są również działania mające na celu zwiększenie pomocy kierowanej do indywidualnych osób niepełnosprawnych za pośrednictwem jednostek samorządu terytorialnego, objęcie szerszym wsparciem fundacji i organizacji pozarządowych w zakresie finansowania podejmowanych przez nie przedsięwzięć zmierzających do poprawy jakości życia osób niepełnosprawnych, a także poszerzenie zakresu programów zatwierdzanych przez Radę Nadzorczą PFRON, ukierunkowanych na wspieranie rehabilitacji zawodowej i integracji społecznej osób niepełnosprawnych. Proponowana zmiana (wyższa dotacja dla PFRON na dofinansowanie wynagrodzeń)  pozwoliłaby na przeznaczanie zwiększonych środków na realizację innych zadań powierzonych PFRON</w:t>
      </w:r>
      <w:r w:rsidR="002034B8">
        <w:t>.</w:t>
      </w:r>
    </w:p>
    <w:p w:rsidR="00164E4D" w:rsidRDefault="00164E4D" w:rsidP="00347F22">
      <w:pPr>
        <w:jc w:val="both"/>
        <w:rPr>
          <w:rFonts w:cs="Times New Roman"/>
          <w:color w:val="000000"/>
          <w:szCs w:val="24"/>
        </w:rPr>
      </w:pPr>
    </w:p>
    <w:p w:rsidR="0004432E" w:rsidRDefault="0004432E" w:rsidP="00347F22">
      <w:pPr>
        <w:jc w:val="both"/>
        <w:rPr>
          <w:rFonts w:cs="Times New Roman"/>
          <w:color w:val="000000"/>
          <w:szCs w:val="24"/>
        </w:rPr>
      </w:pPr>
      <w:r w:rsidRPr="002D4BB4">
        <w:rPr>
          <w:rFonts w:cs="Times New Roman"/>
          <w:color w:val="000000"/>
          <w:szCs w:val="24"/>
        </w:rPr>
        <w:t xml:space="preserve">Projektowana ustawa nie będzie miała bezpośredniego wpływu na sytuację ekonomiczną </w:t>
      </w:r>
      <w:r w:rsidRPr="002D4BB4">
        <w:rPr>
          <w:rFonts w:cs="Times New Roman"/>
          <w:color w:val="000000"/>
          <w:szCs w:val="24"/>
        </w:rPr>
        <w:br/>
        <w:t>i społeczną rodziny oraz osób starszych. Należy założyć, że środki z dotacji dla PFRON umożliwią zwiększenie poziomu finansowania instrumentów wsparcia osób niepełnosprawnych i poprawę jakości życia ich i ich rodzin.</w:t>
      </w:r>
    </w:p>
    <w:p w:rsidR="00347F22" w:rsidRPr="00347F22" w:rsidRDefault="00347F22" w:rsidP="00347F22">
      <w:pPr>
        <w:jc w:val="both"/>
        <w:rPr>
          <w:rFonts w:cs="Times New Roman"/>
          <w:color w:val="000000"/>
          <w:szCs w:val="24"/>
        </w:rPr>
      </w:pPr>
    </w:p>
    <w:p w:rsidR="0004432E" w:rsidRDefault="0004432E" w:rsidP="00F96B17">
      <w:pPr>
        <w:pStyle w:val="NormalnyWeb"/>
        <w:spacing w:before="0" w:beforeAutospacing="0" w:after="0" w:afterAutospacing="0" w:line="360" w:lineRule="auto"/>
        <w:jc w:val="both"/>
        <w:rPr>
          <w:color w:val="000000"/>
        </w:rPr>
      </w:pPr>
      <w:r w:rsidRPr="00934A39">
        <w:rPr>
          <w:color w:val="000000"/>
        </w:rPr>
        <w:t>Projekt ustawy bezpośrednio nie wpływa na mikro-, małych i średnich przedsiębiorców.</w:t>
      </w:r>
    </w:p>
    <w:p w:rsidR="0004432E" w:rsidRPr="00934A39" w:rsidRDefault="0004432E" w:rsidP="00F96B17">
      <w:pPr>
        <w:pStyle w:val="NormalnyWeb"/>
        <w:spacing w:before="0" w:beforeAutospacing="0" w:after="0" w:afterAutospacing="0" w:line="360" w:lineRule="auto"/>
        <w:jc w:val="both"/>
        <w:rPr>
          <w:color w:val="000000"/>
        </w:rPr>
      </w:pPr>
      <w:r w:rsidRPr="00934A39">
        <w:rPr>
          <w:color w:val="000000"/>
        </w:rPr>
        <w:t xml:space="preserve">Projekt ustawy jest zgodny z prawem Unii Europejskiej.  </w:t>
      </w:r>
    </w:p>
    <w:p w:rsidR="0004432E" w:rsidRPr="00934A39" w:rsidRDefault="0004432E" w:rsidP="00F96B17">
      <w:pPr>
        <w:pStyle w:val="NormalnyWeb"/>
        <w:spacing w:before="0" w:beforeAutospacing="0" w:after="0" w:afterAutospacing="0" w:line="360" w:lineRule="auto"/>
        <w:jc w:val="both"/>
        <w:rPr>
          <w:color w:val="000000"/>
        </w:rPr>
      </w:pPr>
      <w:r w:rsidRPr="00934A39">
        <w:rPr>
          <w:color w:val="000000"/>
        </w:rPr>
        <w:t>Projekt nie zawiera przepisów technicznych wymagających notyfikacji w rozumieniu rozporządzenia Rady Ministrów z dnia 23 grudnia 2002 r. w sprawie sposobu funkcjonowania krajowego systemu notyfikacji norm i aktów prawnych (Dz. U. poz. 2039</w:t>
      </w:r>
      <w:r w:rsidR="000A1759">
        <w:rPr>
          <w:color w:val="000000"/>
        </w:rPr>
        <w:t xml:space="preserve">, z </w:t>
      </w:r>
      <w:proofErr w:type="spellStart"/>
      <w:r w:rsidR="000A1759">
        <w:rPr>
          <w:color w:val="000000"/>
        </w:rPr>
        <w:t>późn</w:t>
      </w:r>
      <w:proofErr w:type="spellEnd"/>
      <w:r w:rsidR="000A1759">
        <w:rPr>
          <w:color w:val="000000"/>
        </w:rPr>
        <w:t>. zm.</w:t>
      </w:r>
      <w:bookmarkStart w:id="0" w:name="_GoBack"/>
      <w:bookmarkEnd w:id="0"/>
      <w:r w:rsidRPr="00934A39">
        <w:rPr>
          <w:color w:val="000000"/>
        </w:rPr>
        <w:t>) oraz nie podlega notyfikacji na zasadach przewidzianych w tym rozporządzeniu.</w:t>
      </w:r>
    </w:p>
    <w:p w:rsidR="0004432E" w:rsidRPr="00934A39" w:rsidRDefault="0004432E" w:rsidP="00F96B17">
      <w:pPr>
        <w:pStyle w:val="NormalnyWeb"/>
        <w:spacing w:before="0" w:beforeAutospacing="0" w:after="0" w:afterAutospacing="0" w:line="360" w:lineRule="auto"/>
        <w:jc w:val="both"/>
        <w:rPr>
          <w:color w:val="000000"/>
        </w:rPr>
      </w:pPr>
      <w:r w:rsidRPr="00934A39">
        <w:rPr>
          <w:color w:val="000000"/>
        </w:rPr>
        <w:t>Projekt ustawy nie wymaga uzyskania opinii, dokonania powiadomienia, konsultacji albo uzgodnienia z właściwym organami i instytucjami Unii Europejskiej, w tym z Europejskim Bankiem Centralnym, o czym mowa w § 39 uchwały nr 190 Rady Ministrów z dnia 29 października 2013 r. – Regulamin pracy Rady Ministrów (M.P. z 2022 r. poz. 348).</w:t>
      </w:r>
    </w:p>
    <w:p w:rsidR="0004432E" w:rsidRPr="00934A39" w:rsidRDefault="0004432E" w:rsidP="00F96B17">
      <w:pPr>
        <w:pStyle w:val="NormalnyWeb"/>
        <w:spacing w:before="0" w:beforeAutospacing="0" w:after="0" w:afterAutospacing="0" w:line="360" w:lineRule="auto"/>
        <w:jc w:val="both"/>
        <w:rPr>
          <w:color w:val="000000"/>
        </w:rPr>
      </w:pPr>
      <w:r w:rsidRPr="00934A39">
        <w:rPr>
          <w:color w:val="000000"/>
        </w:rPr>
        <w:t>Stosownie do art. 4 ustawy z dnia 7 lipca 2005 r. o działalności lobbingowej w procesie stanowienia prawa (Dz. U. z 2017 r. poz. 248) projekt zostanie zamieszczony w wykazie prac legislacyjnych i programowych Rady Ministrów</w:t>
      </w:r>
      <w:r>
        <w:rPr>
          <w:color w:val="000000"/>
        </w:rPr>
        <w:t>.</w:t>
      </w:r>
    </w:p>
    <w:p w:rsidR="0004432E" w:rsidRDefault="0004432E" w:rsidP="00F96B17">
      <w:pPr>
        <w:pStyle w:val="NormalnyWeb"/>
        <w:spacing w:before="0" w:beforeAutospacing="0" w:after="0" w:afterAutospacing="0" w:line="360" w:lineRule="auto"/>
        <w:jc w:val="both"/>
        <w:rPr>
          <w:color w:val="000000"/>
        </w:rPr>
      </w:pPr>
      <w:r w:rsidRPr="00934A39">
        <w:rPr>
          <w:color w:val="000000"/>
        </w:rPr>
        <w:t>Zgodnie z art. 5 ustawy z dnia 7 lipca 2005 r. o działalności lobbingowej w procesie stanowienia prawa oraz § 52 uchwały nr 190 Rady Ministrów z dnia 29 października 2013 r. – Regulamin pracy Rady Ministrów projekt ustawy zostanie udostępniony w Biuletynie Informacji Publicznej na stronie podmiotowej Rządowego Centrum Legislacji, w serwisie Rządowy Proces Legislacyjny.</w:t>
      </w:r>
    </w:p>
    <w:p w:rsidR="005D4D0A" w:rsidRPr="00934A39" w:rsidRDefault="005D4D0A" w:rsidP="00F96B17">
      <w:pPr>
        <w:pStyle w:val="NormalnyWeb"/>
        <w:spacing w:before="0" w:beforeAutospacing="0" w:after="0" w:afterAutospacing="0" w:line="360" w:lineRule="auto"/>
        <w:jc w:val="both"/>
        <w:rPr>
          <w:color w:val="000000"/>
        </w:rPr>
      </w:pPr>
      <w:r>
        <w:rPr>
          <w:color w:val="000000"/>
        </w:rPr>
        <w:t>Projekt nie stwarza zagrożeń korupcyjnych.</w:t>
      </w:r>
    </w:p>
    <w:p w:rsidR="00AB7786" w:rsidRPr="002034B8" w:rsidRDefault="0004432E" w:rsidP="002034B8">
      <w:pPr>
        <w:pStyle w:val="NormalnyWeb"/>
        <w:spacing w:before="0" w:beforeAutospacing="0" w:after="0" w:afterAutospacing="0" w:line="360" w:lineRule="auto"/>
        <w:jc w:val="both"/>
        <w:rPr>
          <w:color w:val="000000"/>
        </w:rPr>
      </w:pPr>
      <w:r w:rsidRPr="00934A39">
        <w:rPr>
          <w:color w:val="000000"/>
        </w:rPr>
        <w:t xml:space="preserve"> </w:t>
      </w:r>
    </w:p>
    <w:sectPr w:rsidR="00AB7786" w:rsidRPr="002034B8" w:rsidSect="002034B8">
      <w:headerReference w:type="default" r:id="rId7"/>
      <w:footnotePr>
        <w:numRestart w:val="eachSect"/>
      </w:footnotePr>
      <w:pgSz w:w="11906" w:h="16838"/>
      <w:pgMar w:top="851" w:right="1434" w:bottom="1134"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2B9" w:rsidRDefault="000D72B9">
      <w:pPr>
        <w:spacing w:line="240" w:lineRule="auto"/>
      </w:pPr>
      <w:r>
        <w:separator/>
      </w:r>
    </w:p>
  </w:endnote>
  <w:endnote w:type="continuationSeparator" w:id="0">
    <w:p w:rsidR="000D72B9" w:rsidRDefault="000D7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2B9" w:rsidRDefault="000D72B9">
      <w:pPr>
        <w:spacing w:line="240" w:lineRule="auto"/>
      </w:pPr>
      <w:r>
        <w:separator/>
      </w:r>
    </w:p>
  </w:footnote>
  <w:footnote w:type="continuationSeparator" w:id="0">
    <w:p w:rsidR="000D72B9" w:rsidRDefault="000D7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3D" w:rsidRPr="00B371CC" w:rsidRDefault="00F96B17" w:rsidP="00B371CC">
    <w:pPr>
      <w:pStyle w:val="Nagwek"/>
      <w:jc w:val="center"/>
    </w:pPr>
    <w:r>
      <w:t xml:space="preserve">– </w:t>
    </w:r>
    <w:r>
      <w:fldChar w:fldCharType="begin"/>
    </w:r>
    <w:r>
      <w:instrText xml:space="preserve"> PAGE  \* MERGEFORMAT </w:instrText>
    </w:r>
    <w:r>
      <w:fldChar w:fldCharType="separate"/>
    </w:r>
    <w:r w:rsidR="005829C6">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D4A"/>
    <w:multiLevelType w:val="hybridMultilevel"/>
    <w:tmpl w:val="11FAE2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E"/>
    <w:rsid w:val="0004432E"/>
    <w:rsid w:val="000A1759"/>
    <w:rsid w:val="000D72B9"/>
    <w:rsid w:val="00164E4D"/>
    <w:rsid w:val="00196171"/>
    <w:rsid w:val="002034B8"/>
    <w:rsid w:val="00260B52"/>
    <w:rsid w:val="002B5D7D"/>
    <w:rsid w:val="002D4699"/>
    <w:rsid w:val="00347F22"/>
    <w:rsid w:val="003A4DE4"/>
    <w:rsid w:val="003B218F"/>
    <w:rsid w:val="00454052"/>
    <w:rsid w:val="00464F77"/>
    <w:rsid w:val="004A4D7B"/>
    <w:rsid w:val="004C514E"/>
    <w:rsid w:val="00553BB9"/>
    <w:rsid w:val="005829C6"/>
    <w:rsid w:val="005D4D0A"/>
    <w:rsid w:val="00631831"/>
    <w:rsid w:val="0064633C"/>
    <w:rsid w:val="00652861"/>
    <w:rsid w:val="00712F15"/>
    <w:rsid w:val="00720C49"/>
    <w:rsid w:val="00753689"/>
    <w:rsid w:val="007A30B7"/>
    <w:rsid w:val="007E27FF"/>
    <w:rsid w:val="007F640F"/>
    <w:rsid w:val="00840A3B"/>
    <w:rsid w:val="00866F07"/>
    <w:rsid w:val="00904E8F"/>
    <w:rsid w:val="009677FE"/>
    <w:rsid w:val="009D46F8"/>
    <w:rsid w:val="009F6BCB"/>
    <w:rsid w:val="00A22DDD"/>
    <w:rsid w:val="00AB7786"/>
    <w:rsid w:val="00AC5047"/>
    <w:rsid w:val="00AC7C35"/>
    <w:rsid w:val="00B96837"/>
    <w:rsid w:val="00BB3D99"/>
    <w:rsid w:val="00BE76D3"/>
    <w:rsid w:val="00BF6645"/>
    <w:rsid w:val="00E67D22"/>
    <w:rsid w:val="00EB7B60"/>
    <w:rsid w:val="00EE0821"/>
    <w:rsid w:val="00F96B17"/>
    <w:rsid w:val="00FF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5DB4"/>
  <w15:chartTrackingRefBased/>
  <w15:docId w15:val="{E5CCE553-D810-4610-BADE-47D39212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432E"/>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4432E"/>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basedOn w:val="Domylnaczcionkaakapitu"/>
    <w:link w:val="Nagwek"/>
    <w:uiPriority w:val="99"/>
    <w:semiHidden/>
    <w:rsid w:val="0004432E"/>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04432E"/>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Normalny"/>
    <w:uiPriority w:val="6"/>
    <w:qFormat/>
    <w:rsid w:val="0004432E"/>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TYTDZOZNoznaczenietytuulubdziau">
    <w:name w:val="TYT(DZ)_OZN – oznaczenie tytułu lub działu"/>
    <w:next w:val="Normalny"/>
    <w:uiPriority w:val="9"/>
    <w:qFormat/>
    <w:rsid w:val="0004432E"/>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DANIENASTNOWYWIERSZnpzddrugienowywierszwust">
    <w:name w:val="ZDANIE_NAST_NOWY_WIERSZ – np. zd. drugie (nowy wiersz) w ust."/>
    <w:basedOn w:val="Normalny"/>
    <w:next w:val="Normalny"/>
    <w:uiPriority w:val="17"/>
    <w:qFormat/>
    <w:rsid w:val="0004432E"/>
    <w:pPr>
      <w:widowControl/>
      <w:autoSpaceDE/>
      <w:autoSpaceDN/>
      <w:adjustRightInd/>
      <w:jc w:val="both"/>
    </w:pPr>
    <w:rPr>
      <w:rFonts w:ascii="Times" w:hAnsi="Times"/>
      <w:bCs/>
    </w:rPr>
  </w:style>
  <w:style w:type="character" w:customStyle="1" w:styleId="Ppogrubienie">
    <w:name w:val="_P_ – pogrubienie"/>
    <w:uiPriority w:val="1"/>
    <w:qFormat/>
    <w:rsid w:val="0004432E"/>
    <w:rPr>
      <w:b/>
    </w:rPr>
  </w:style>
  <w:style w:type="paragraph" w:styleId="NormalnyWeb">
    <w:name w:val="Normal (Web)"/>
    <w:basedOn w:val="Normalny"/>
    <w:uiPriority w:val="99"/>
    <w:unhideWhenUsed/>
    <w:rsid w:val="0004432E"/>
    <w:pPr>
      <w:widowControl/>
      <w:autoSpaceDE/>
      <w:autoSpaceDN/>
      <w:adjustRightInd/>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5057">
      <w:bodyDiv w:val="1"/>
      <w:marLeft w:val="0"/>
      <w:marRight w:val="0"/>
      <w:marTop w:val="0"/>
      <w:marBottom w:val="0"/>
      <w:divBdr>
        <w:top w:val="none" w:sz="0" w:space="0" w:color="auto"/>
        <w:left w:val="none" w:sz="0" w:space="0" w:color="auto"/>
        <w:bottom w:val="none" w:sz="0" w:space="0" w:color="auto"/>
        <w:right w:val="none" w:sz="0" w:space="0" w:color="auto"/>
      </w:divBdr>
    </w:div>
    <w:div w:id="813720465">
      <w:bodyDiv w:val="1"/>
      <w:marLeft w:val="0"/>
      <w:marRight w:val="0"/>
      <w:marTop w:val="0"/>
      <w:marBottom w:val="0"/>
      <w:divBdr>
        <w:top w:val="none" w:sz="0" w:space="0" w:color="auto"/>
        <w:left w:val="none" w:sz="0" w:space="0" w:color="auto"/>
        <w:bottom w:val="none" w:sz="0" w:space="0" w:color="auto"/>
        <w:right w:val="none" w:sz="0" w:space="0" w:color="auto"/>
      </w:divBdr>
    </w:div>
    <w:div w:id="1165241436">
      <w:bodyDiv w:val="1"/>
      <w:marLeft w:val="0"/>
      <w:marRight w:val="0"/>
      <w:marTop w:val="0"/>
      <w:marBottom w:val="0"/>
      <w:divBdr>
        <w:top w:val="none" w:sz="0" w:space="0" w:color="auto"/>
        <w:left w:val="none" w:sz="0" w:space="0" w:color="auto"/>
        <w:bottom w:val="none" w:sz="0" w:space="0" w:color="auto"/>
        <w:right w:val="none" w:sz="0" w:space="0" w:color="auto"/>
      </w:divBdr>
    </w:div>
    <w:div w:id="1387411560">
      <w:bodyDiv w:val="1"/>
      <w:marLeft w:val="0"/>
      <w:marRight w:val="0"/>
      <w:marTop w:val="0"/>
      <w:marBottom w:val="0"/>
      <w:divBdr>
        <w:top w:val="none" w:sz="0" w:space="0" w:color="auto"/>
        <w:left w:val="none" w:sz="0" w:space="0" w:color="auto"/>
        <w:bottom w:val="none" w:sz="0" w:space="0" w:color="auto"/>
        <w:right w:val="none" w:sz="0" w:space="0" w:color="auto"/>
      </w:divBdr>
    </w:div>
    <w:div w:id="1463231922">
      <w:bodyDiv w:val="1"/>
      <w:marLeft w:val="0"/>
      <w:marRight w:val="0"/>
      <w:marTop w:val="0"/>
      <w:marBottom w:val="0"/>
      <w:divBdr>
        <w:top w:val="none" w:sz="0" w:space="0" w:color="auto"/>
        <w:left w:val="none" w:sz="0" w:space="0" w:color="auto"/>
        <w:bottom w:val="none" w:sz="0" w:space="0" w:color="auto"/>
        <w:right w:val="none" w:sz="0" w:space="0" w:color="auto"/>
      </w:divBdr>
    </w:div>
    <w:div w:id="16046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5654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Iwańczyk</dc:creator>
  <cp:keywords/>
  <dc:description/>
  <cp:lastModifiedBy>Praca zdalna</cp:lastModifiedBy>
  <cp:revision>3</cp:revision>
  <cp:lastPrinted>2022-08-22T10:11:00Z</cp:lastPrinted>
  <dcterms:created xsi:type="dcterms:W3CDTF">2022-08-23T15:17:00Z</dcterms:created>
  <dcterms:modified xsi:type="dcterms:W3CDTF">2022-08-23T15:20:00Z</dcterms:modified>
</cp:coreProperties>
</file>